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45400F">
        <w:rPr>
          <w:rFonts w:eastAsia="Times New Roman" w:cs="Arial"/>
          <w:b/>
          <w:i/>
          <w:color w:val="000000"/>
          <w:sz w:val="24"/>
          <w:szCs w:val="24"/>
          <w:lang w:eastAsia="it-IT"/>
        </w:rPr>
        <w:t>Allegato</w:t>
      </w:r>
      <w:r w:rsidR="0045400F" w:rsidRPr="0045400F">
        <w:rPr>
          <w:rFonts w:eastAsia="Times New Roman" w:cs="Arial"/>
          <w:b/>
          <w:i/>
          <w:color w:val="000000"/>
          <w:sz w:val="24"/>
          <w:szCs w:val="24"/>
          <w:lang w:eastAsia="it-IT"/>
        </w:rPr>
        <w:t xml:space="preserve"> A</w:t>
      </w:r>
      <w:r w:rsidRPr="0045400F">
        <w:rPr>
          <w:rFonts w:eastAsia="Times New Roman" w:cs="Arial"/>
          <w:b/>
          <w:i/>
          <w:color w:val="000000"/>
          <w:sz w:val="24"/>
          <w:szCs w:val="24"/>
          <w:lang w:eastAsia="it-IT"/>
        </w:rPr>
        <w:t xml:space="preserve"> </w:t>
      </w:r>
      <w:r w:rsidRPr="0045400F">
        <w:rPr>
          <w:rFonts w:eastAsia="Times New Roman" w:cs="Arial"/>
          <w:i/>
          <w:color w:val="000000"/>
          <w:sz w:val="20"/>
          <w:szCs w:val="20"/>
          <w:lang w:eastAsia="it-IT"/>
        </w:rPr>
        <w:t xml:space="preserve">– Schema domanda di </w:t>
      </w:r>
      <w:r w:rsidR="009226C3" w:rsidRPr="0045400F">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EF1FCB" w:rsidRDefault="00337563" w:rsidP="00EF1FCB">
            <w:pPr>
              <w:tabs>
                <w:tab w:val="left" w:pos="567"/>
                <w:tab w:val="left" w:pos="1134"/>
                <w:tab w:val="left" w:pos="4536"/>
                <w:tab w:val="left" w:pos="6238"/>
                <w:tab w:val="left" w:pos="7939"/>
              </w:tabs>
              <w:spacing w:after="0" w:line="240" w:lineRule="auto"/>
              <w:rPr>
                <w:rFonts w:eastAsia="Times New Roman" w:cs="Arial"/>
                <w:b/>
                <w:color w:val="000000"/>
                <w:sz w:val="20"/>
                <w:szCs w:val="20"/>
                <w:lang w:eastAsia="it-IT"/>
              </w:rPr>
            </w:pPr>
            <w:r w:rsidRPr="00EF1FCB">
              <w:rPr>
                <w:rFonts w:eastAsia="Times New Roman" w:cs="Arial"/>
                <w:b/>
                <w:color w:val="000000"/>
                <w:sz w:val="20"/>
                <w:szCs w:val="20"/>
                <w:lang w:eastAsia="it-IT"/>
              </w:rPr>
              <w:t>PTA.Camm.</w:t>
            </w:r>
            <w:r w:rsidR="00EF1FCB" w:rsidRPr="00EF1FCB">
              <w:rPr>
                <w:rFonts w:eastAsia="Times New Roman" w:cs="Arial"/>
                <w:b/>
                <w:color w:val="000000"/>
                <w:sz w:val="20"/>
                <w:szCs w:val="20"/>
                <w:lang w:eastAsia="it-IT"/>
              </w:rPr>
              <w:t>21.01</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45400F" w:rsidRDefault="00254C1A" w:rsidP="00A9094A">
      <w:pPr>
        <w:spacing w:after="0" w:line="240" w:lineRule="auto"/>
        <w:ind w:left="4536"/>
        <w:jc w:val="both"/>
        <w:rPr>
          <w:rFonts w:ascii="Calibri" w:hAnsi="Calibri" w:cs="Arial"/>
          <w:sz w:val="20"/>
          <w:szCs w:val="20"/>
        </w:rPr>
      </w:pPr>
      <w:r w:rsidRPr="0045400F">
        <w:rPr>
          <w:rFonts w:ascii="Calibri" w:hAnsi="Calibri" w:cs="Arial"/>
          <w:sz w:val="20"/>
          <w:szCs w:val="20"/>
        </w:rPr>
        <w:t>Al Direttore Generale</w:t>
      </w:r>
    </w:p>
    <w:p w:rsidR="00A9094A" w:rsidRPr="0045400F" w:rsidRDefault="00254C1A" w:rsidP="00A9094A">
      <w:pPr>
        <w:spacing w:after="0" w:line="240" w:lineRule="auto"/>
        <w:ind w:left="4536"/>
        <w:jc w:val="both"/>
        <w:rPr>
          <w:rFonts w:ascii="Calibri" w:hAnsi="Calibri" w:cs="Arial"/>
          <w:sz w:val="20"/>
          <w:szCs w:val="20"/>
        </w:rPr>
      </w:pPr>
      <w:r w:rsidRPr="0045400F">
        <w:rPr>
          <w:rFonts w:ascii="Calibri" w:hAnsi="Calibri" w:cs="Arial"/>
          <w:sz w:val="20"/>
          <w:szCs w:val="20"/>
        </w:rPr>
        <w:t>Direzione Generale</w:t>
      </w:r>
    </w:p>
    <w:p w:rsidR="00A9094A" w:rsidRPr="0045400F" w:rsidRDefault="00A9094A" w:rsidP="00A9094A">
      <w:pPr>
        <w:spacing w:after="0" w:line="240" w:lineRule="auto"/>
        <w:ind w:left="4536"/>
        <w:jc w:val="both"/>
        <w:rPr>
          <w:rFonts w:ascii="Calibri" w:hAnsi="Calibri" w:cs="Arial"/>
          <w:sz w:val="20"/>
          <w:szCs w:val="20"/>
        </w:rPr>
      </w:pPr>
      <w:r w:rsidRPr="0045400F">
        <w:rPr>
          <w:rFonts w:ascii="Calibri" w:hAnsi="Calibri" w:cs="Arial"/>
          <w:sz w:val="20"/>
          <w:szCs w:val="20"/>
        </w:rPr>
        <w:t>Politecnico di Bari</w:t>
      </w:r>
    </w:p>
    <w:p w:rsidR="00A9094A" w:rsidRPr="0045400F" w:rsidRDefault="00A9094A" w:rsidP="00A9094A">
      <w:pPr>
        <w:pStyle w:val="Titolo5"/>
        <w:tabs>
          <w:tab w:val="clear" w:pos="6540"/>
        </w:tabs>
        <w:ind w:left="4536"/>
        <w:rPr>
          <w:rFonts w:ascii="Calibri" w:hAnsi="Calibri" w:cs="Arial"/>
          <w:b w:val="0"/>
          <w:sz w:val="20"/>
        </w:rPr>
      </w:pPr>
      <w:r w:rsidRPr="0045400F">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45400F">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D7475E" w:rsidRDefault="008B0E60" w:rsidP="00254C1A">
      <w:pPr>
        <w:spacing w:after="0" w:line="240" w:lineRule="auto"/>
        <w:jc w:val="both"/>
        <w:rPr>
          <w:rFonts w:ascii="Calibri" w:hAnsi="Calibri"/>
        </w:rPr>
      </w:pPr>
      <w:r w:rsidRPr="0045400F">
        <w:rPr>
          <w:rFonts w:ascii="Calibri" w:hAnsi="Calibri"/>
        </w:rPr>
        <w:t xml:space="preserve">Chiede di partecipare </w:t>
      </w:r>
      <w:r w:rsidR="00D7475E">
        <w:rPr>
          <w:rFonts w:ascii="Calibri" w:hAnsi="Calibri"/>
        </w:rPr>
        <w:t xml:space="preserve">al </w:t>
      </w:r>
      <w:r w:rsidR="00D7475E" w:rsidRPr="00D7475E">
        <w:rPr>
          <w:rFonts w:ascii="Calibri" w:hAnsi="Calibri"/>
        </w:rPr>
        <w:t xml:space="preserve">concorso pubblico, per esami, per la copertura a tempo indeterminato di n. </w:t>
      </w:r>
      <w:r w:rsidR="00D7475E" w:rsidRPr="00D7475E">
        <w:rPr>
          <w:rFonts w:ascii="Calibri" w:hAnsi="Calibri"/>
          <w:b/>
        </w:rPr>
        <w:t>2</w:t>
      </w:r>
      <w:r w:rsidR="00D7475E" w:rsidRPr="00D7475E">
        <w:rPr>
          <w:rFonts w:ascii="Calibri" w:hAnsi="Calibri"/>
        </w:rPr>
        <w:t xml:space="preserve"> posti di categoria C, posizione economica C/1, area amministrativa, presso il Politecnico di Bari riservato ai soggetti rientranti nella categoria disabili di cui all’art. 1, comma 1 della Legge n. 68/1999 e </w:t>
      </w:r>
      <w:proofErr w:type="spellStart"/>
      <w:r w:rsidR="00D7475E" w:rsidRPr="00D7475E">
        <w:rPr>
          <w:rFonts w:ascii="Calibri" w:hAnsi="Calibri"/>
        </w:rPr>
        <w:t>s.m.i.</w:t>
      </w:r>
      <w:proofErr w:type="spellEnd"/>
      <w:r w:rsidR="00D7475E" w:rsidRPr="00D7475E">
        <w:rPr>
          <w:rFonts w:ascii="Calibri" w:hAnsi="Calibri"/>
        </w:rPr>
        <w:t xml:space="preserve"> (codice concorso: </w:t>
      </w:r>
      <w:r w:rsidR="00D7475E" w:rsidRPr="00D7475E">
        <w:rPr>
          <w:rFonts w:ascii="Calibri" w:hAnsi="Calibri"/>
          <w:b/>
        </w:rPr>
        <w:t>PTA.Camm.21.01</w:t>
      </w:r>
      <w:r w:rsidR="00D7475E" w:rsidRPr="00D7475E">
        <w:rPr>
          <w:rFonts w:ascii="Calibri" w:hAnsi="Calibri"/>
        </w:rPr>
        <w:t>)</w:t>
      </w:r>
      <w:r w:rsidR="00D7475E">
        <w:rPr>
          <w:rFonts w:ascii="Calibri" w:hAnsi="Calibri"/>
        </w:rPr>
        <w:t xml:space="preserve">, </w:t>
      </w:r>
      <w:r w:rsidR="006D0A9A" w:rsidRPr="0045400F">
        <w:rPr>
          <w:rFonts w:ascii="Calibri" w:hAnsi="Calibri"/>
        </w:rPr>
        <w:t xml:space="preserve">bandita con D.D. n. </w:t>
      </w:r>
      <w:r w:rsidR="00410B9D">
        <w:rPr>
          <w:rFonts w:ascii="Calibri" w:hAnsi="Calibri"/>
        </w:rPr>
        <w:t>321</w:t>
      </w:r>
      <w:r w:rsidR="00FD5FC8" w:rsidRPr="0045400F">
        <w:rPr>
          <w:rFonts w:ascii="Calibri" w:hAnsi="Calibri"/>
        </w:rPr>
        <w:t xml:space="preserve"> del </w:t>
      </w:r>
      <w:r w:rsidR="00410B9D">
        <w:rPr>
          <w:rFonts w:ascii="Calibri" w:hAnsi="Calibri"/>
        </w:rPr>
        <w:t>12/07/2021</w:t>
      </w:r>
      <w:r w:rsidR="00FD5FC8" w:rsidRPr="0045400F">
        <w:rPr>
          <w:rFonts w:ascii="Calibri" w:hAnsi="Calibri"/>
        </w:rPr>
        <w:t xml:space="preserve">, il cui Avviso è pubblicato </w:t>
      </w:r>
      <w:r w:rsidR="00FD5FC8" w:rsidRPr="0045400F">
        <w:rPr>
          <w:rFonts w:ascii="Calibri" w:hAnsi="Calibri"/>
          <w:snapToGrid w:val="0"/>
        </w:rPr>
        <w:t>nella Gazzetta Ufficiale della Repubblica Italiana - 4</w:t>
      </w:r>
      <w:r w:rsidR="00FD5FC8" w:rsidRPr="0045400F">
        <w:rPr>
          <w:rFonts w:ascii="Calibri" w:hAnsi="Calibri"/>
          <w:snapToGrid w:val="0"/>
          <w:vertAlign w:val="superscript"/>
        </w:rPr>
        <w:t>a</w:t>
      </w:r>
      <w:r w:rsidR="00FD5FC8" w:rsidRPr="0045400F">
        <w:rPr>
          <w:rFonts w:ascii="Calibri" w:hAnsi="Calibri"/>
          <w:snapToGrid w:val="0"/>
        </w:rPr>
        <w:t xml:space="preserve"> Serie Speciale “Concorsi ed Esami” n. </w:t>
      </w:r>
      <w:r w:rsidR="00917F8D">
        <w:rPr>
          <w:rFonts w:ascii="Calibri" w:hAnsi="Calibri"/>
          <w:snapToGrid w:val="0"/>
        </w:rPr>
        <w:t>63</w:t>
      </w:r>
      <w:r w:rsidR="00FD5FC8" w:rsidRPr="0045400F">
        <w:rPr>
          <w:rFonts w:ascii="Calibri" w:hAnsi="Calibri"/>
          <w:snapToGrid w:val="0"/>
        </w:rPr>
        <w:t xml:space="preserve"> del </w:t>
      </w:r>
      <w:r w:rsidR="00917F8D">
        <w:rPr>
          <w:rFonts w:ascii="Calibri" w:hAnsi="Calibri"/>
          <w:snapToGrid w:val="0"/>
        </w:rPr>
        <w:t>10 agosto 2021.</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917F8D">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w:t>
            </w:r>
            <w:r w:rsidR="00917F8D">
              <w:rPr>
                <w:rFonts w:eastAsia="Times New Roman" w:cs="Arial"/>
                <w:b/>
                <w:color w:val="000000"/>
                <w:lang w:eastAsia="it-IT"/>
              </w:rPr>
              <w:t>città</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45400F">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r w:rsidRPr="00FD5FC8">
        <w:rPr>
          <w:rFonts w:eastAsia="Times New Roman" w:cs="Arial"/>
          <w:lang w:eastAsia="it-IT"/>
        </w:rPr>
        <w:t>d</w:t>
      </w:r>
      <w:r w:rsidR="002F2BE1" w:rsidRPr="00FD5FC8">
        <w:rPr>
          <w:rFonts w:eastAsia="Times New Roman" w:cs="Arial"/>
          <w:lang w:eastAsia="it-IT"/>
        </w:rPr>
        <w:t>i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proofErr w:type="gramStart"/>
      <w:r w:rsidR="002F2BE1" w:rsidRPr="00FD5FC8">
        <w:rPr>
          <w:rFonts w:eastAsia="Times New Roman" w:cs="Arial"/>
          <w:lang w:eastAsia="it-IT"/>
        </w:rPr>
        <w:t>D.Lgs</w:t>
      </w:r>
      <w:proofErr w:type="gramEnd"/>
      <w:r w:rsidR="002F2BE1" w:rsidRPr="00FD5FC8">
        <w:rPr>
          <w:rFonts w:eastAsia="Times New Roman" w:cs="Arial"/>
          <w:lang w:eastAsia="it-IT"/>
        </w:rPr>
        <w:t>.</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Default="00355547" w:rsidP="008C4592">
      <w:pPr>
        <w:pStyle w:val="Paragrafoelenco"/>
        <w:spacing w:line="240" w:lineRule="auto"/>
        <w:rPr>
          <w:rFonts w:eastAsia="Times New Roman" w:cs="Arial"/>
          <w:sz w:val="28"/>
          <w:szCs w:val="28"/>
          <w:lang w:eastAsia="it-IT"/>
        </w:rPr>
      </w:pPr>
    </w:p>
    <w:p w:rsidR="000A7247" w:rsidRDefault="000A7247" w:rsidP="008C4592">
      <w:pPr>
        <w:pStyle w:val="Paragrafoelenco"/>
        <w:spacing w:line="240" w:lineRule="auto"/>
        <w:rPr>
          <w:rFonts w:eastAsia="Times New Roman" w:cs="Arial"/>
          <w:sz w:val="28"/>
          <w:szCs w:val="28"/>
          <w:lang w:eastAsia="it-IT"/>
        </w:rPr>
      </w:pPr>
    </w:p>
    <w:p w:rsidR="000A7247" w:rsidRPr="006514DF" w:rsidRDefault="000A7247" w:rsidP="000A7247">
      <w:pPr>
        <w:pStyle w:val="Paragrafoelenco"/>
        <w:numPr>
          <w:ilvl w:val="0"/>
          <w:numId w:val="16"/>
        </w:numPr>
        <w:tabs>
          <w:tab w:val="left" w:pos="-1701"/>
          <w:tab w:val="left" w:pos="-426"/>
        </w:tabs>
        <w:spacing w:after="0" w:line="240" w:lineRule="auto"/>
        <w:jc w:val="both"/>
        <w:rPr>
          <w:rFonts w:eastAsia="Times New Roman" w:cstheme="minorHAnsi"/>
          <w:b/>
          <w:lang w:eastAsia="it-IT"/>
        </w:rPr>
      </w:pPr>
      <w:r w:rsidRPr="006514DF">
        <w:rPr>
          <w:rFonts w:eastAsia="Times New Roman" w:cstheme="minorHAnsi"/>
          <w:b/>
          <w:lang w:eastAsia="it-IT"/>
        </w:rPr>
        <w:t xml:space="preserve">di appartenere ad una delle </w:t>
      </w:r>
      <w:r w:rsidRPr="006514DF">
        <w:rPr>
          <w:rFonts w:cstheme="minorHAnsi"/>
          <w:b/>
          <w:spacing w:val="-1"/>
        </w:rPr>
        <w:t>categorie</w:t>
      </w:r>
      <w:r w:rsidRPr="006514DF">
        <w:rPr>
          <w:rFonts w:cstheme="minorHAnsi"/>
          <w:b/>
          <w:spacing w:val="-4"/>
        </w:rPr>
        <w:t xml:space="preserve"> </w:t>
      </w:r>
      <w:r w:rsidRPr="006514DF">
        <w:rPr>
          <w:rFonts w:cstheme="minorHAnsi"/>
          <w:b/>
          <w:spacing w:val="-1"/>
        </w:rPr>
        <w:t>dei</w:t>
      </w:r>
      <w:r w:rsidRPr="006514DF">
        <w:rPr>
          <w:rFonts w:cstheme="minorHAnsi"/>
          <w:b/>
          <w:spacing w:val="-6"/>
        </w:rPr>
        <w:t xml:space="preserve"> </w:t>
      </w:r>
      <w:r w:rsidRPr="006514DF">
        <w:rPr>
          <w:rFonts w:cstheme="minorHAnsi"/>
          <w:b/>
          <w:spacing w:val="-1"/>
        </w:rPr>
        <w:t>soggetti</w:t>
      </w:r>
      <w:r w:rsidRPr="006514DF">
        <w:rPr>
          <w:rFonts w:cstheme="minorHAnsi"/>
          <w:b/>
          <w:spacing w:val="-10"/>
        </w:rPr>
        <w:t xml:space="preserve"> </w:t>
      </w:r>
      <w:r w:rsidRPr="006514DF">
        <w:rPr>
          <w:rFonts w:cstheme="minorHAnsi"/>
          <w:b/>
          <w:spacing w:val="-1"/>
        </w:rPr>
        <w:t>disabili</w:t>
      </w:r>
      <w:r w:rsidRPr="006514DF">
        <w:rPr>
          <w:rFonts w:cstheme="minorHAnsi"/>
          <w:b/>
          <w:spacing w:val="-7"/>
        </w:rPr>
        <w:t xml:space="preserve"> </w:t>
      </w:r>
      <w:r w:rsidRPr="006514DF">
        <w:rPr>
          <w:rFonts w:cstheme="minorHAnsi"/>
          <w:b/>
          <w:spacing w:val="-1"/>
        </w:rPr>
        <w:t>di</w:t>
      </w:r>
      <w:r w:rsidRPr="006514DF">
        <w:rPr>
          <w:rFonts w:cstheme="minorHAnsi"/>
          <w:b/>
          <w:spacing w:val="-9"/>
        </w:rPr>
        <w:t xml:space="preserve"> </w:t>
      </w:r>
      <w:r w:rsidRPr="006514DF">
        <w:rPr>
          <w:rFonts w:cstheme="minorHAnsi"/>
          <w:b/>
          <w:spacing w:val="-1"/>
        </w:rPr>
        <w:t>cui</w:t>
      </w:r>
      <w:r w:rsidRPr="006514DF">
        <w:rPr>
          <w:rFonts w:cstheme="minorHAnsi"/>
          <w:b/>
          <w:spacing w:val="-7"/>
        </w:rPr>
        <w:t xml:space="preserve"> </w:t>
      </w:r>
      <w:r w:rsidRPr="006514DF">
        <w:rPr>
          <w:rFonts w:cstheme="minorHAnsi"/>
          <w:b/>
          <w:spacing w:val="-1"/>
        </w:rPr>
        <w:t>all’art.</w:t>
      </w:r>
      <w:r w:rsidRPr="006514DF">
        <w:rPr>
          <w:rFonts w:cstheme="minorHAnsi"/>
          <w:b/>
          <w:spacing w:val="-7"/>
        </w:rPr>
        <w:t xml:space="preserve"> </w:t>
      </w:r>
      <w:r w:rsidRPr="006514DF">
        <w:rPr>
          <w:rFonts w:cstheme="minorHAnsi"/>
          <w:b/>
          <w:spacing w:val="-1"/>
        </w:rPr>
        <w:t>1</w:t>
      </w:r>
      <w:r w:rsidRPr="006514DF">
        <w:rPr>
          <w:rFonts w:cstheme="minorHAnsi"/>
          <w:b/>
          <w:spacing w:val="-8"/>
        </w:rPr>
        <w:t xml:space="preserve"> </w:t>
      </w:r>
      <w:r w:rsidRPr="006514DF">
        <w:rPr>
          <w:rFonts w:cstheme="minorHAnsi"/>
          <w:b/>
          <w:spacing w:val="-1"/>
        </w:rPr>
        <w:t>della L</w:t>
      </w:r>
      <w:r w:rsidRPr="006514DF">
        <w:rPr>
          <w:rFonts w:cstheme="minorHAnsi"/>
          <w:b/>
        </w:rPr>
        <w:t>egge</w:t>
      </w:r>
      <w:r w:rsidRPr="006514DF">
        <w:rPr>
          <w:rFonts w:cstheme="minorHAnsi"/>
          <w:b/>
          <w:spacing w:val="-11"/>
        </w:rPr>
        <w:t xml:space="preserve"> </w:t>
      </w:r>
      <w:r w:rsidRPr="006514DF">
        <w:rPr>
          <w:rFonts w:cstheme="minorHAnsi"/>
          <w:b/>
        </w:rPr>
        <w:t>n.</w:t>
      </w:r>
      <w:r w:rsidRPr="006514DF">
        <w:rPr>
          <w:rFonts w:cstheme="minorHAnsi"/>
          <w:b/>
          <w:spacing w:val="-8"/>
        </w:rPr>
        <w:t xml:space="preserve"> </w:t>
      </w:r>
      <w:r w:rsidRPr="006514DF">
        <w:rPr>
          <w:rFonts w:cstheme="minorHAnsi"/>
          <w:b/>
        </w:rPr>
        <w:t>68/1999</w:t>
      </w:r>
      <w:r w:rsidRPr="006514DF">
        <w:rPr>
          <w:rFonts w:cstheme="minorHAnsi"/>
          <w:b/>
          <w:spacing w:val="-9"/>
        </w:rPr>
        <w:t xml:space="preserve"> </w:t>
      </w:r>
      <w:r w:rsidRPr="006514DF">
        <w:rPr>
          <w:rFonts w:cstheme="minorHAnsi"/>
          <w:b/>
        </w:rPr>
        <w:t>e</w:t>
      </w:r>
      <w:r w:rsidRPr="006514DF">
        <w:rPr>
          <w:rFonts w:cstheme="minorHAnsi"/>
          <w:b/>
          <w:spacing w:val="-6"/>
        </w:rPr>
        <w:t xml:space="preserve"> </w:t>
      </w:r>
      <w:r w:rsidRPr="006514DF">
        <w:rPr>
          <w:rFonts w:cstheme="minorHAnsi"/>
          <w:b/>
        </w:rPr>
        <w:t>s.m.i., di seguito riportate (</w:t>
      </w:r>
      <w:r w:rsidRPr="006514DF">
        <w:rPr>
          <w:rFonts w:cstheme="minorHAnsi"/>
          <w:b/>
          <w:u w:val="single"/>
        </w:rPr>
        <w:t xml:space="preserve">barrare la </w:t>
      </w:r>
      <w:r w:rsidR="00425094" w:rsidRPr="006514DF">
        <w:rPr>
          <w:rFonts w:cstheme="minorHAnsi"/>
          <w:b/>
          <w:u w:val="single"/>
        </w:rPr>
        <w:t xml:space="preserve">casella relativa alla </w:t>
      </w:r>
      <w:r w:rsidRPr="006514DF">
        <w:rPr>
          <w:rFonts w:cstheme="minorHAnsi"/>
          <w:b/>
          <w:u w:val="single"/>
        </w:rPr>
        <w:t>categoria di appartenenza</w:t>
      </w:r>
      <w:r w:rsidR="00425094" w:rsidRPr="006514DF">
        <w:rPr>
          <w:rFonts w:cstheme="minorHAnsi"/>
          <w:b/>
        </w:rPr>
        <w:t xml:space="preserve"> tra quelle sotto indicate</w:t>
      </w:r>
      <w:r w:rsidRPr="006514DF">
        <w:rPr>
          <w:rFonts w:cstheme="minorHAnsi"/>
          <w:b/>
        </w:rPr>
        <w:t>):</w:t>
      </w:r>
    </w:p>
    <w:p w:rsidR="000A7247" w:rsidRPr="00425094" w:rsidRDefault="000A7247" w:rsidP="000A7247">
      <w:pPr>
        <w:pStyle w:val="Paragrafoelenco"/>
        <w:numPr>
          <w:ilvl w:val="0"/>
          <w:numId w:val="16"/>
        </w:numPr>
        <w:tabs>
          <w:tab w:val="left" w:pos="-1701"/>
          <w:tab w:val="left" w:pos="-426"/>
        </w:tabs>
        <w:spacing w:after="0" w:line="240" w:lineRule="auto"/>
        <w:ind w:left="1276"/>
        <w:jc w:val="both"/>
        <w:rPr>
          <w:rFonts w:eastAsia="Times New Roman" w:cstheme="minorHAnsi"/>
          <w:lang w:eastAsia="it-IT"/>
        </w:rPr>
      </w:pPr>
      <w:bookmarkStart w:id="0" w:name="_Hlk76552081"/>
      <w:r w:rsidRPr="00425094">
        <w:rPr>
          <w:rFonts w:eastAsia="Arial" w:cstheme="minorHAnsi"/>
          <w:bCs/>
          <w:w w:val="105"/>
        </w:rPr>
        <w:t>persone in età lavorativa affette da minorazioni fisiche, psichiche o sensoriali ed i portatori di handicap intellettivo, che presentino una riduzione della capacità lavorativa superiore al 45%, accertata dalle competenti commissioni per il riconoscimento dell’invalidità civile</w:t>
      </w:r>
      <w:bookmarkEnd w:id="0"/>
      <w:r w:rsidR="006514DF">
        <w:rPr>
          <w:rFonts w:eastAsia="Arial" w:cstheme="minorHAnsi"/>
          <w:bCs/>
          <w:w w:val="105"/>
        </w:rPr>
        <w:t>;</w:t>
      </w:r>
    </w:p>
    <w:p w:rsidR="000A7247" w:rsidRPr="00425094" w:rsidRDefault="000A7247" w:rsidP="000A7247">
      <w:pPr>
        <w:pStyle w:val="Paragrafoelenco"/>
        <w:numPr>
          <w:ilvl w:val="0"/>
          <w:numId w:val="16"/>
        </w:numPr>
        <w:tabs>
          <w:tab w:val="left" w:pos="-1701"/>
          <w:tab w:val="left" w:pos="-426"/>
        </w:tabs>
        <w:spacing w:after="0" w:line="240" w:lineRule="auto"/>
        <w:ind w:left="1276"/>
        <w:jc w:val="both"/>
        <w:rPr>
          <w:rFonts w:eastAsia="Times New Roman" w:cstheme="minorHAnsi"/>
          <w:lang w:eastAsia="it-IT"/>
        </w:rPr>
      </w:pPr>
      <w:r w:rsidRPr="00425094">
        <w:rPr>
          <w:rFonts w:eastAsia="Arial" w:cstheme="minorHAnsi"/>
          <w:bCs/>
          <w:w w:val="105"/>
        </w:rPr>
        <w:t>persone</w:t>
      </w:r>
      <w:r w:rsidRPr="00425094">
        <w:rPr>
          <w:rFonts w:cstheme="minorHAnsi"/>
          <w:bCs/>
          <w:w w:val="105"/>
        </w:rPr>
        <w:t xml:space="preserve"> </w:t>
      </w:r>
      <w:r w:rsidRPr="00425094">
        <w:rPr>
          <w:rFonts w:eastAsia="Arial" w:cstheme="minorHAnsi"/>
          <w:bCs/>
          <w:w w:val="105"/>
        </w:rPr>
        <w:t>invalide del lavoro con un grado di invalidità superiore al 33% accertata dall’INAIL</w:t>
      </w:r>
      <w:r w:rsidR="006514DF">
        <w:rPr>
          <w:rFonts w:eastAsia="Arial" w:cstheme="minorHAnsi"/>
          <w:bCs/>
          <w:w w:val="105"/>
        </w:rPr>
        <w:t>;</w:t>
      </w:r>
    </w:p>
    <w:p w:rsidR="000A7247" w:rsidRPr="00425094" w:rsidRDefault="000A7247" w:rsidP="000A7247">
      <w:pPr>
        <w:pStyle w:val="Paragrafoelenco"/>
        <w:numPr>
          <w:ilvl w:val="0"/>
          <w:numId w:val="16"/>
        </w:numPr>
        <w:tabs>
          <w:tab w:val="left" w:pos="-1701"/>
          <w:tab w:val="left" w:pos="-426"/>
        </w:tabs>
        <w:spacing w:after="0" w:line="240" w:lineRule="auto"/>
        <w:ind w:left="1276"/>
        <w:jc w:val="both"/>
        <w:rPr>
          <w:rFonts w:eastAsia="Times New Roman" w:cstheme="minorHAnsi"/>
          <w:lang w:eastAsia="it-IT"/>
        </w:rPr>
      </w:pPr>
      <w:r w:rsidRPr="00425094">
        <w:rPr>
          <w:rFonts w:cstheme="minorHAnsi"/>
          <w:bCs/>
          <w:w w:val="105"/>
        </w:rPr>
        <w:t>persone non vedenti (L. n.382/1970 e successive modifiche);</w:t>
      </w:r>
    </w:p>
    <w:p w:rsidR="000A7247" w:rsidRPr="00425094" w:rsidRDefault="000A7247" w:rsidP="000A7247">
      <w:pPr>
        <w:pStyle w:val="Paragrafoelenco"/>
        <w:numPr>
          <w:ilvl w:val="0"/>
          <w:numId w:val="16"/>
        </w:numPr>
        <w:tabs>
          <w:tab w:val="left" w:pos="-1701"/>
          <w:tab w:val="left" w:pos="-426"/>
        </w:tabs>
        <w:spacing w:after="0" w:line="240" w:lineRule="auto"/>
        <w:ind w:left="1276"/>
        <w:jc w:val="both"/>
        <w:rPr>
          <w:rFonts w:eastAsia="Times New Roman" w:cstheme="minorHAnsi"/>
          <w:lang w:eastAsia="it-IT"/>
        </w:rPr>
      </w:pPr>
      <w:r w:rsidRPr="00425094">
        <w:rPr>
          <w:rFonts w:cstheme="minorHAnsi"/>
          <w:bCs/>
          <w:w w:val="105"/>
        </w:rPr>
        <w:t>persone sordomute (L. n.381/1970 e successive modifiche);</w:t>
      </w:r>
    </w:p>
    <w:p w:rsidR="000A7247" w:rsidRPr="00425094" w:rsidRDefault="000A7247" w:rsidP="000A7247">
      <w:pPr>
        <w:pStyle w:val="Paragrafoelenco"/>
        <w:numPr>
          <w:ilvl w:val="0"/>
          <w:numId w:val="16"/>
        </w:numPr>
        <w:tabs>
          <w:tab w:val="left" w:pos="-1701"/>
          <w:tab w:val="left" w:pos="-426"/>
        </w:tabs>
        <w:spacing w:after="0" w:line="240" w:lineRule="auto"/>
        <w:ind w:left="1276"/>
        <w:jc w:val="both"/>
        <w:rPr>
          <w:rFonts w:eastAsia="Times New Roman" w:cstheme="minorHAnsi"/>
          <w:lang w:eastAsia="it-IT"/>
        </w:rPr>
      </w:pPr>
      <w:r w:rsidRPr="00425094">
        <w:rPr>
          <w:rFonts w:cstheme="minorHAnsi"/>
          <w:bCs/>
          <w:w w:val="105"/>
        </w:rPr>
        <w:t>persone invalide di guerra, invalide civili di guerra e invalide per servizio con menomazioni annesse alle tabelle di cui al Testo Unico in materia di pensioni di guerra D.P.R. n.915/78</w:t>
      </w:r>
      <w:r w:rsidR="006514DF">
        <w:rPr>
          <w:rFonts w:cstheme="minorHAnsi"/>
          <w:bCs/>
          <w:w w:val="105"/>
        </w:rPr>
        <w:t>.</w:t>
      </w:r>
    </w:p>
    <w:p w:rsidR="000A7247" w:rsidRDefault="000A72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6514DF" w:rsidRDefault="002F2BE1" w:rsidP="006514DF">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lastRenderedPageBreak/>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w:t>
      </w:r>
      <w:r w:rsidRPr="006514DF">
        <w:rPr>
          <w:rFonts w:eastAsia="Times New Roman" w:cs="Arial"/>
          <w:b/>
          <w:lang w:eastAsia="it-IT"/>
        </w:rPr>
        <w:t>pendenti</w:t>
      </w:r>
      <w:r w:rsidR="006514DF" w:rsidRPr="006514DF">
        <w:rPr>
          <w:rFonts w:eastAsia="Times New Roman" w:cs="Arial"/>
          <w:b/>
          <w:lang w:eastAsia="it-IT"/>
        </w:rPr>
        <w:t xml:space="preserve"> </w:t>
      </w:r>
      <w:r w:rsidR="006514DF" w:rsidRPr="006514DF">
        <w:rPr>
          <w:b/>
        </w:rPr>
        <w:t>che</w:t>
      </w:r>
      <w:r w:rsidR="006514DF" w:rsidRPr="006514DF">
        <w:rPr>
          <w:b/>
          <w:spacing w:val="1"/>
        </w:rPr>
        <w:t xml:space="preserve"> </w:t>
      </w:r>
      <w:r w:rsidR="006514DF" w:rsidRPr="006514DF">
        <w:rPr>
          <w:b/>
        </w:rPr>
        <w:t>comportino</w:t>
      </w:r>
      <w:r w:rsidR="006514DF" w:rsidRPr="006514DF">
        <w:rPr>
          <w:b/>
          <w:spacing w:val="5"/>
        </w:rPr>
        <w:t xml:space="preserve"> </w:t>
      </w:r>
      <w:r w:rsidR="006514DF" w:rsidRPr="006514DF">
        <w:rPr>
          <w:b/>
        </w:rPr>
        <w:t>l’interdizione</w:t>
      </w:r>
      <w:r w:rsidR="006514DF" w:rsidRPr="006514DF">
        <w:rPr>
          <w:b/>
          <w:spacing w:val="5"/>
        </w:rPr>
        <w:t xml:space="preserve"> </w:t>
      </w:r>
      <w:r w:rsidR="006514DF" w:rsidRPr="006514DF">
        <w:rPr>
          <w:b/>
        </w:rPr>
        <w:t>dai</w:t>
      </w:r>
      <w:r w:rsidR="006514DF" w:rsidRPr="006514DF">
        <w:rPr>
          <w:b/>
          <w:spacing w:val="7"/>
        </w:rPr>
        <w:t xml:space="preserve"> </w:t>
      </w:r>
      <w:r w:rsidR="006514DF" w:rsidRPr="006514DF">
        <w:rPr>
          <w:b/>
        </w:rPr>
        <w:t>pubblici</w:t>
      </w:r>
      <w:r w:rsidR="006514DF" w:rsidRPr="006514DF">
        <w:rPr>
          <w:b/>
          <w:spacing w:val="6"/>
        </w:rPr>
        <w:t xml:space="preserve"> </w:t>
      </w:r>
      <w:r w:rsidR="006514DF" w:rsidRPr="006514DF">
        <w:rPr>
          <w:b/>
        </w:rPr>
        <w:t>uffici</w:t>
      </w:r>
      <w:r w:rsidRPr="006514DF">
        <w:rPr>
          <w:rFonts w:eastAsia="Times New Roman" w:cs="Arial"/>
          <w:b/>
          <w:lang w:eastAsia="it-IT"/>
        </w:rPr>
        <w:t>;</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(specificare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DA13BB" w:rsidRPr="00696411" w:rsidRDefault="00DA13BB" w:rsidP="004263E9">
      <w:pPr>
        <w:pStyle w:val="Paragrafoelenco"/>
        <w:tabs>
          <w:tab w:val="left" w:pos="-1701"/>
          <w:tab w:val="left" w:pos="-426"/>
          <w:tab w:val="left" w:pos="1134"/>
          <w:tab w:val="left" w:pos="4536"/>
          <w:tab w:val="left" w:pos="6238"/>
          <w:tab w:val="left" w:pos="7939"/>
        </w:tabs>
        <w:spacing w:before="240" w:after="0" w:line="240" w:lineRule="auto"/>
        <w:jc w:val="both"/>
        <w:rPr>
          <w:rFonts w:eastAsia="Times New Roman" w:cs="Arial"/>
          <w:b/>
          <w:sz w:val="16"/>
          <w:szCs w:val="16"/>
          <w:lang w:eastAsia="it-IT"/>
        </w:rPr>
      </w:pPr>
    </w:p>
    <w:p w:rsidR="008B0E60"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AC54ED">
        <w:rPr>
          <w:rFonts w:eastAsia="Times New Roman" w:cs="Arial"/>
          <w:b/>
          <w:lang w:eastAsia="it-IT"/>
        </w:rPr>
        <w:t xml:space="preserve">di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DA13BB" w:rsidRPr="00DA13BB" w:rsidRDefault="00DA13BB" w:rsidP="00DA13BB">
      <w:pPr>
        <w:pStyle w:val="Paragrafoelenco"/>
        <w:tabs>
          <w:tab w:val="left" w:pos="-1701"/>
          <w:tab w:val="left" w:pos="-426"/>
          <w:tab w:val="left" w:pos="1134"/>
          <w:tab w:val="left" w:pos="4536"/>
          <w:tab w:val="left" w:pos="6238"/>
          <w:tab w:val="left" w:pos="7939"/>
        </w:tabs>
        <w:spacing w:before="240" w:after="0" w:line="240" w:lineRule="auto"/>
        <w:jc w:val="both"/>
        <w:rPr>
          <w:rFonts w:eastAsia="Times New Roman" w:cs="Arial"/>
          <w:b/>
          <w:i/>
          <w:lang w:eastAsia="it-IT"/>
        </w:rPr>
      </w:pPr>
      <w:r>
        <w:rPr>
          <w:rFonts w:eastAsia="Times New Roman" w:cs="Arial"/>
          <w:b/>
          <w:lang w:eastAsia="it-IT"/>
        </w:rPr>
        <w:t xml:space="preserve">                                 </w:t>
      </w:r>
      <w:r w:rsidRPr="00DA13BB">
        <w:rPr>
          <w:rFonts w:eastAsia="Times New Roman" w:cs="Arial"/>
          <w:b/>
          <w:i/>
          <w:lang w:eastAsia="it-IT"/>
        </w:rPr>
        <w:t>ovvero</w:t>
      </w:r>
    </w:p>
    <w:p w:rsidR="00FF7630" w:rsidRPr="00AC54ED" w:rsidRDefault="008B0E60" w:rsidP="004263E9">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AC54ED">
        <w:rPr>
          <w:rFonts w:eastAsia="Times New Roman" w:cs="Arial"/>
          <w:b/>
          <w:lang w:eastAsia="it-IT"/>
        </w:rPr>
        <w:t>di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w:t>
      </w:r>
      <w:r w:rsidR="00DA13BB">
        <w:rPr>
          <w:rFonts w:eastAsia="Times New Roman" w:cs="Arial"/>
          <w:b/>
          <w:lang w:eastAsia="it-IT"/>
        </w:rPr>
        <w:t xml:space="preserve"> eventuali</w:t>
      </w:r>
      <w:r w:rsidR="005740A0" w:rsidRPr="00AC54ED">
        <w:rPr>
          <w:rFonts w:eastAsia="Times New Roman" w:cs="Arial"/>
          <w:b/>
          <w:lang w:eastAsia="it-IT"/>
        </w:rPr>
        <w:t xml:space="preserv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DA13BB" w:rsidRPr="00FD5FC8" w:rsidTr="00310E48">
        <w:tc>
          <w:tcPr>
            <w:tcW w:w="9568" w:type="dxa"/>
            <w:tcBorders>
              <w:top w:val="dotted" w:sz="4" w:space="0" w:color="auto"/>
              <w:left w:val="dotted" w:sz="4" w:space="0" w:color="auto"/>
              <w:bottom w:val="dotted" w:sz="4" w:space="0" w:color="auto"/>
              <w:right w:val="dotted" w:sz="4" w:space="0" w:color="auto"/>
            </w:tcBorders>
          </w:tcPr>
          <w:p w:rsidR="00DA13BB" w:rsidRPr="00FD5FC8" w:rsidRDefault="001D3846"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r>
              <w:rPr>
                <w:rFonts w:eastAsia="Times New Roman" w:cs="Arial"/>
                <w:color w:val="000000"/>
                <w:lang w:eastAsia="it-IT"/>
              </w:rPr>
              <w:t xml:space="preserve">   </w:t>
            </w:r>
          </w:p>
        </w:tc>
      </w:tr>
    </w:tbl>
    <w:p w:rsidR="00FF7630" w:rsidRPr="00696411" w:rsidRDefault="00FF7630" w:rsidP="005740A0">
      <w:pPr>
        <w:pStyle w:val="Paragrafoelenco"/>
        <w:spacing w:before="240" w:line="240" w:lineRule="auto"/>
        <w:jc w:val="both"/>
        <w:rPr>
          <w:rFonts w:eastAsia="Times New Roman" w:cs="Arial"/>
          <w:b/>
          <w:sz w:val="16"/>
          <w:szCs w:val="16"/>
          <w:lang w:eastAsia="it-IT"/>
        </w:rPr>
      </w:pPr>
    </w:p>
    <w:p w:rsidR="006514DF" w:rsidRDefault="006514DF" w:rsidP="00EB5587">
      <w:pPr>
        <w:pStyle w:val="Paragrafoelenco"/>
        <w:numPr>
          <w:ilvl w:val="0"/>
          <w:numId w:val="17"/>
        </w:numPr>
        <w:spacing w:before="240" w:line="240" w:lineRule="auto"/>
        <w:jc w:val="both"/>
        <w:rPr>
          <w:rFonts w:eastAsia="Times New Roman" w:cs="Arial"/>
          <w:b/>
          <w:lang w:eastAsia="it-IT"/>
        </w:rPr>
      </w:pPr>
      <w:r>
        <w:rPr>
          <w:rFonts w:eastAsia="Times New Roman" w:cs="Arial"/>
          <w:b/>
          <w:lang w:eastAsia="it-IT"/>
        </w:rPr>
        <w:t>di essere fisicamente idoneo all’impiego continuativo ed incondizionato al quale la presente selezione si riferisce;</w:t>
      </w:r>
    </w:p>
    <w:p w:rsidR="006514DF" w:rsidRDefault="006514DF" w:rsidP="006514DF">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r w:rsidRPr="009352D3">
        <w:rPr>
          <w:rFonts w:eastAsia="Times New Roman" w:cs="Arial"/>
          <w:b/>
          <w:lang w:eastAsia="it-IT"/>
        </w:rPr>
        <w:t xml:space="preserve">di </w:t>
      </w:r>
      <w:r w:rsidR="006514DF">
        <w:rPr>
          <w:rFonts w:eastAsia="Times New Roman" w:cs="Arial"/>
          <w:b/>
          <w:lang w:eastAsia="it-IT"/>
        </w:rPr>
        <w:t>non essere stato licenziato</w:t>
      </w:r>
      <w:r w:rsidR="006514DF" w:rsidRPr="006514DF">
        <w:rPr>
          <w:rFonts w:eastAsia="Times New Roman" w:cs="Arial"/>
          <w:b/>
          <w:lang w:eastAsia="it-IT"/>
        </w:rPr>
        <w:t xml:space="preserve"> per motivi disciplinari o destituiti o dispensati dall’impiego presso una pubblica amministrazione per persistente insufficiente rendimento ovvero non essere stati dichiarati decaduti da un impiego statale, ai sensi dell’articolo 127, primo comma, lettera d), del Testo Unico delle disposizioni concernenti lo statuto degli impiegati civili dello Stato, approvato con D.P.R. 10 gennaio 1957, n. 3</w:t>
      </w:r>
      <w:r w:rsidRPr="009352D3">
        <w:rPr>
          <w:rFonts w:eastAsia="Times New Roman" w:cs="Arial"/>
          <w:b/>
          <w:lang w:eastAsia="it-IT"/>
        </w:rPr>
        <w:t>;</w:t>
      </w:r>
    </w:p>
    <w:p w:rsidR="00AE7BB7" w:rsidRDefault="00AE7BB7" w:rsidP="00AE7BB7">
      <w:pPr>
        <w:pStyle w:val="Paragrafoelenco"/>
        <w:spacing w:before="240" w:line="240" w:lineRule="auto"/>
        <w:jc w:val="both"/>
        <w:rPr>
          <w:rFonts w:eastAsia="Times New Roman" w:cs="Arial"/>
          <w:b/>
          <w:lang w:eastAsia="it-IT"/>
        </w:rPr>
      </w:pPr>
    </w:p>
    <w:p w:rsidR="00AE7BB7" w:rsidRDefault="00AE7BB7" w:rsidP="00EB5587">
      <w:pPr>
        <w:pStyle w:val="Paragrafoelenco"/>
        <w:numPr>
          <w:ilvl w:val="0"/>
          <w:numId w:val="17"/>
        </w:numPr>
        <w:spacing w:before="240" w:line="240" w:lineRule="auto"/>
        <w:jc w:val="both"/>
        <w:rPr>
          <w:rFonts w:eastAsia="Times New Roman" w:cs="Arial"/>
          <w:b/>
          <w:lang w:eastAsia="it-IT"/>
        </w:rPr>
      </w:pPr>
      <w:r>
        <w:rPr>
          <w:rFonts w:eastAsia="Times New Roman" w:cs="Arial"/>
          <w:b/>
          <w:lang w:eastAsia="it-IT"/>
        </w:rPr>
        <w:t>di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6D6D8F" w:rsidRPr="006D6D8F" w:rsidRDefault="006D6D8F" w:rsidP="006D6D8F">
      <w:pPr>
        <w:pStyle w:val="Paragrafoelenco"/>
        <w:rPr>
          <w:rFonts w:eastAsia="Times New Roman" w:cs="Arial"/>
          <w:b/>
          <w:lang w:eastAsia="it-IT"/>
        </w:rPr>
      </w:pPr>
    </w:p>
    <w:p w:rsidR="006D6D8F" w:rsidRDefault="006D6D8F" w:rsidP="006D6D8F">
      <w:pPr>
        <w:pStyle w:val="Paragrafoelenco"/>
        <w:numPr>
          <w:ilvl w:val="0"/>
          <w:numId w:val="17"/>
        </w:numPr>
        <w:shd w:val="clear" w:color="auto" w:fill="FFFFFF"/>
        <w:ind w:right="-1"/>
        <w:jc w:val="both"/>
        <w:textAlignment w:val="baseline"/>
        <w:rPr>
          <w:b/>
          <w:spacing w:val="-2"/>
          <w:w w:val="104"/>
        </w:rPr>
      </w:pPr>
      <w:r w:rsidRPr="006D6D8F">
        <w:rPr>
          <w:b/>
          <w:spacing w:val="-2"/>
          <w:w w:val="104"/>
        </w:rPr>
        <w:t xml:space="preserve">di provvedere al versamento di € 25,82 a copertura delle spese relative all’organizzazione ed all’espletamento della procedura concorsuale, da effettuarsi mediante il sistema unico per i pagamenti elettronici verso la pubblica amministrazione </w:t>
      </w:r>
      <w:proofErr w:type="spellStart"/>
      <w:r w:rsidRPr="006D6D8F">
        <w:rPr>
          <w:b/>
          <w:spacing w:val="-2"/>
          <w:w w:val="104"/>
        </w:rPr>
        <w:t>PagoPA</w:t>
      </w:r>
      <w:proofErr w:type="spellEnd"/>
      <w:r w:rsidRPr="006D6D8F">
        <w:rPr>
          <w:b/>
          <w:spacing w:val="-2"/>
          <w:w w:val="104"/>
        </w:rPr>
        <w:t>, entro e non oltre venti giorni consecutivi, decorrenti dalla data di ricezione dell’avviso di pagamento inoltrato mediante posta elettronica a cura del Politecnico di Bari, riportante il codice necessario per il predetto pagamento;</w:t>
      </w:r>
    </w:p>
    <w:p w:rsidR="00F41B16" w:rsidRPr="00F41B16" w:rsidRDefault="00F41B16" w:rsidP="00F41B16">
      <w:pPr>
        <w:pStyle w:val="Paragrafoelenco"/>
        <w:rPr>
          <w:b/>
          <w:spacing w:val="-2"/>
          <w:w w:val="104"/>
        </w:rPr>
      </w:pPr>
    </w:p>
    <w:p w:rsidR="00F41B16" w:rsidRDefault="00F41B16" w:rsidP="00F41B16">
      <w:pPr>
        <w:pStyle w:val="Paragrafoelenco"/>
        <w:numPr>
          <w:ilvl w:val="0"/>
          <w:numId w:val="17"/>
        </w:numPr>
        <w:shd w:val="clear" w:color="auto" w:fill="FFFFFF"/>
        <w:ind w:right="-1"/>
        <w:jc w:val="both"/>
        <w:textAlignment w:val="baseline"/>
        <w:rPr>
          <w:b/>
          <w:spacing w:val="-2"/>
          <w:w w:val="104"/>
        </w:rPr>
      </w:pPr>
      <w:r w:rsidRPr="00F41B16">
        <w:rPr>
          <w:b/>
          <w:spacing w:val="-2"/>
          <w:w w:val="104"/>
        </w:rPr>
        <w:t xml:space="preserve">di essere consapevole che </w:t>
      </w:r>
      <w:r>
        <w:rPr>
          <w:b/>
          <w:spacing w:val="-2"/>
          <w:w w:val="104"/>
        </w:rPr>
        <w:t>tutte le informazioni relative alla presente selezione verranno pubblicate, con valore di notifica</w:t>
      </w:r>
      <w:r w:rsidRPr="00F41B16">
        <w:rPr>
          <w:b/>
          <w:spacing w:val="-2"/>
          <w:w w:val="104"/>
        </w:rPr>
        <w:t xml:space="preserve">, sulla pagina web del Politecnico di Bari all’indirizzo </w:t>
      </w:r>
      <w:hyperlink r:id="rId6" w:history="1">
        <w:r w:rsidRPr="00844A63">
          <w:rPr>
            <w:rStyle w:val="Collegamentoipertestuale"/>
            <w:b/>
            <w:spacing w:val="-2"/>
            <w:w w:val="104"/>
          </w:rPr>
          <w:t>https://www.poliba.it/it/amministrazione-e-servizi/bandi-il-personale-tab</w:t>
        </w:r>
      </w:hyperlink>
      <w:r>
        <w:rPr>
          <w:b/>
          <w:spacing w:val="-2"/>
          <w:w w:val="104"/>
        </w:rPr>
        <w:t>;</w:t>
      </w:r>
    </w:p>
    <w:p w:rsidR="009C0214" w:rsidRPr="00FD5FC8" w:rsidRDefault="009C0214" w:rsidP="009C0214">
      <w:pPr>
        <w:pStyle w:val="Paragrafoelenco"/>
        <w:spacing w:line="240" w:lineRule="auto"/>
        <w:jc w:val="both"/>
        <w:rPr>
          <w:rFonts w:eastAsia="Times New Roman" w:cs="Arial"/>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6A09DF" w:rsidRPr="006A09DF"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 xml:space="preserve">di essere </w:t>
      </w:r>
      <w:r w:rsidR="006514DF" w:rsidRPr="006514DF">
        <w:rPr>
          <w:rFonts w:ascii="Calibri" w:hAnsi="Calibri" w:cs="Arial"/>
          <w:b/>
        </w:rPr>
        <w:t>riconosciuto/a disabile ai sensi della legge n. 68/1999 e di avere necessità delle seguenti speciali modalità di svolgimento delle prove d’esame</w:t>
      </w:r>
      <w:r w:rsidR="006514DF">
        <w:rPr>
          <w:rFonts w:eastAsia="Times New Roman" w:cs="Arial"/>
          <w:b/>
          <w:lang w:eastAsia="it-IT"/>
        </w:rPr>
        <w:t xml:space="preserve"> </w:t>
      </w:r>
      <w:r w:rsidR="006514DF" w:rsidRPr="005F619E">
        <w:rPr>
          <w:rFonts w:ascii="Calibri" w:hAnsi="Calibri" w:cs="Arial"/>
        </w:rPr>
        <w:t>(</w:t>
      </w:r>
      <w:r w:rsidR="006514DF" w:rsidRPr="005F619E">
        <w:rPr>
          <w:rFonts w:ascii="Calibri" w:hAnsi="Calibri" w:cs="Arial"/>
          <w:i/>
        </w:rPr>
        <w:t>indicare eventuali ausili, tempi aggiuntivi</w:t>
      </w:r>
      <w:r w:rsidR="006514DF" w:rsidRPr="005F619E">
        <w:rPr>
          <w:rFonts w:ascii="Calibri" w:hAnsi="Calibri" w:cs="Arial"/>
        </w:rPr>
        <w:t>)</w:t>
      </w:r>
      <w:r w:rsidR="006514DF">
        <w:rPr>
          <w:rFonts w:ascii="Calibri" w:hAnsi="Calibri" w:cs="Arial"/>
        </w:rPr>
        <w:t xml:space="preserve"> </w:t>
      </w:r>
    </w:p>
    <w:p w:rsidR="006A09DF" w:rsidRPr="006A09DF" w:rsidRDefault="006A09DF" w:rsidP="006A09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6514DF" w:rsidRPr="006514DF" w:rsidRDefault="00FC0659" w:rsidP="006A09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lang w:eastAsia="it-IT"/>
        </w:rPr>
        <w:t>________________</w:t>
      </w:r>
      <w:r w:rsidR="006514DF">
        <w:rPr>
          <w:rFonts w:eastAsia="Times New Roman" w:cs="Arial"/>
          <w:lang w:eastAsia="it-IT"/>
        </w:rPr>
        <w:t>___</w:t>
      </w:r>
      <w:r>
        <w:rPr>
          <w:rFonts w:eastAsia="Times New Roman" w:cs="Arial"/>
          <w:lang w:eastAsia="it-IT"/>
        </w:rPr>
        <w:t>___________</w:t>
      </w:r>
      <w:r w:rsidR="006514DF">
        <w:rPr>
          <w:rFonts w:eastAsia="Times New Roman" w:cs="Arial"/>
          <w:lang w:eastAsia="it-IT"/>
        </w:rPr>
        <w:t>______________________________________________</w:t>
      </w:r>
      <w:r>
        <w:rPr>
          <w:rFonts w:eastAsia="Times New Roman" w:cs="Arial"/>
          <w:lang w:eastAsia="it-IT"/>
        </w:rPr>
        <w:t>___</w:t>
      </w:r>
    </w:p>
    <w:p w:rsidR="006514DF" w:rsidRDefault="006514DF" w:rsidP="006514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6514DF" w:rsidRPr="006514DF" w:rsidRDefault="006514DF" w:rsidP="006514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lang w:eastAsia="it-IT"/>
        </w:rPr>
        <w:t>_______________________________________________________________________________</w:t>
      </w:r>
    </w:p>
    <w:p w:rsidR="006514DF" w:rsidRDefault="006514DF" w:rsidP="006514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F41B16" w:rsidRPr="006514DF" w:rsidRDefault="00F41B16" w:rsidP="006514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6514DF" w:rsidRPr="006514DF" w:rsidRDefault="006514DF" w:rsidP="006514DF">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5401ED" w:rsidRDefault="005401ED" w:rsidP="008C4592">
            <w:pPr>
              <w:tabs>
                <w:tab w:val="left" w:pos="-1701"/>
                <w:tab w:val="left" w:pos="-426"/>
              </w:tabs>
              <w:spacing w:after="0" w:line="240" w:lineRule="auto"/>
              <w:rPr>
                <w:rFonts w:eastAsia="Times New Roman" w:cs="Arial"/>
                <w:b/>
                <w:i/>
                <w:lang w:eastAsia="it-IT"/>
              </w:rPr>
            </w:pPr>
          </w:p>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FD5FC8">
        <w:rPr>
          <w:rFonts w:eastAsia="Times New Roman" w:cs="Arial"/>
          <w:lang w:eastAsia="it-IT"/>
        </w:rPr>
        <w:t>di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AC54ED">
        <w:rPr>
          <w:rFonts w:eastAsia="Times New Roman" w:cs="Arial"/>
          <w:lang w:eastAsia="it-IT"/>
        </w:rPr>
        <w:t xml:space="preserve">di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C05A7B" w:rsidRDefault="00226150" w:rsidP="00C05A7B">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r w:rsidRPr="00A3713A">
        <w:rPr>
          <w:rFonts w:eastAsia="Times New Roman" w:cs="Arial"/>
          <w:lang w:eastAsia="it-IT"/>
        </w:rPr>
        <w:t xml:space="preserve">di </w:t>
      </w:r>
      <w:r w:rsidR="007D03F4">
        <w:rPr>
          <w:rFonts w:eastAsia="Times New Roman" w:cs="Arial"/>
          <w:lang w:eastAsia="it-IT"/>
        </w:rPr>
        <w:t xml:space="preserve">aver diritto alla preferenza a parità di merito in quanto è in possesso dei seguenti requisiti indicati </w:t>
      </w:r>
      <w:r w:rsidR="006D6D8F">
        <w:rPr>
          <w:rFonts w:eastAsia="Times New Roman" w:cs="Arial"/>
          <w:b/>
          <w:lang w:eastAsia="it-IT"/>
        </w:rPr>
        <w:t xml:space="preserve">nell’art. 8 </w:t>
      </w:r>
      <w:r w:rsidR="00C05A7B">
        <w:rPr>
          <w:rFonts w:eastAsia="Times New Roman" w:cs="Arial"/>
          <w:lang w:eastAsia="it-IT"/>
        </w:rPr>
        <w:t>del bando:</w:t>
      </w:r>
    </w:p>
    <w:p w:rsidR="007D03F4" w:rsidRDefault="00C05A7B" w:rsidP="00C05A7B">
      <w:pPr>
        <w:tabs>
          <w:tab w:val="left" w:pos="-1701"/>
          <w:tab w:val="left" w:pos="-426"/>
          <w:tab w:val="left" w:pos="1134"/>
          <w:tab w:val="left" w:pos="4536"/>
          <w:tab w:val="left" w:pos="6238"/>
          <w:tab w:val="left" w:pos="7939"/>
        </w:tabs>
        <w:spacing w:after="0" w:line="240" w:lineRule="auto"/>
        <w:ind w:left="720"/>
        <w:rPr>
          <w:rFonts w:eastAsia="Times New Roman" w:cs="Arial"/>
          <w:i/>
          <w:sz w:val="18"/>
          <w:szCs w:val="18"/>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sidR="007D03F4">
        <w:rPr>
          <w:rFonts w:eastAsia="Times New Roman" w:cs="Arial"/>
          <w:lang w:eastAsia="it-IT"/>
        </w:rPr>
        <w:t>;</w:t>
      </w:r>
      <w:r w:rsidR="007D03F4">
        <w:rPr>
          <w:rFonts w:eastAsia="Times New Roman" w:cs="Arial"/>
          <w:lang w:eastAsia="it-IT"/>
        </w:rPr>
        <w:br/>
      </w:r>
    </w:p>
    <w:p w:rsidR="00C05A7B" w:rsidRDefault="00C05A7B" w:rsidP="00C05A7B">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p>
    <w:p w:rsidR="006822BC" w:rsidRDefault="000C3996"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__L</w:t>
      </w:r>
      <w:r w:rsidR="006822BC" w:rsidRPr="006822BC">
        <w:rPr>
          <w:rFonts w:eastAsia="Times New Roman" w:cs="Arial"/>
          <w:lang w:eastAsia="it-IT"/>
        </w:rPr>
        <w:t xml:space="preserve">__ </w:t>
      </w:r>
      <w:proofErr w:type="spellStart"/>
      <w:r w:rsidR="006822BC" w:rsidRPr="006822BC">
        <w:rPr>
          <w:rFonts w:eastAsia="Times New Roman" w:cs="Arial"/>
          <w:lang w:eastAsia="it-IT"/>
        </w:rPr>
        <w:t>sottoscritt</w:t>
      </w:r>
      <w:proofErr w:type="spellEnd"/>
      <w:r w:rsidR="006822BC" w:rsidRPr="006822BC">
        <w:rPr>
          <w:rFonts w:eastAsia="Times New Roman" w:cs="Arial"/>
          <w:lang w:eastAsia="it-IT"/>
        </w:rPr>
        <w:t>__ dichiara, sotto la propria responsabilità, che quant</w:t>
      </w:r>
      <w:r w:rsidR="008149B2">
        <w:rPr>
          <w:rFonts w:eastAsia="Times New Roman" w:cs="Arial"/>
          <w:lang w:eastAsia="it-IT"/>
        </w:rPr>
        <w:t xml:space="preserve">o sopra affermato corrisponde a </w:t>
      </w:r>
      <w:r w:rsidR="006822BC" w:rsidRPr="006822BC">
        <w:rPr>
          <w:rFonts w:eastAsia="Times New Roman" w:cs="Arial"/>
          <w:lang w:eastAsia="it-IT"/>
        </w:rPr>
        <w:t>verità ed è consapevole delle sanzioni penali nel caso di dichiarazioni non</w:t>
      </w:r>
      <w:r w:rsidR="008149B2">
        <w:rPr>
          <w:rFonts w:eastAsia="Times New Roman" w:cs="Arial"/>
          <w:lang w:eastAsia="it-IT"/>
        </w:rPr>
        <w:t xml:space="preserve"> veritiere, di formazione o uso </w:t>
      </w:r>
      <w:r w:rsidR="006822BC" w:rsidRPr="006822BC">
        <w:rPr>
          <w:rFonts w:eastAsia="Times New Roman" w:cs="Arial"/>
          <w:lang w:eastAsia="it-IT"/>
        </w:rPr>
        <w:t>di atti falsi, richiamati dall’art. 76 del D.P.R. 445 del 28 dicembre 2000.</w:t>
      </w:r>
    </w:p>
    <w:p w:rsidR="00C05A7B" w:rsidRPr="006822BC" w:rsidRDefault="00C05A7B"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822BC" w:rsidRPr="006822BC" w:rsidRDefault="000C3996"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__L</w:t>
      </w:r>
      <w:r w:rsidR="006822BC" w:rsidRPr="006822BC">
        <w:rPr>
          <w:rFonts w:eastAsia="Times New Roman" w:cs="Arial"/>
          <w:lang w:eastAsia="it-IT"/>
        </w:rPr>
        <w:t xml:space="preserve">__ </w:t>
      </w:r>
      <w:proofErr w:type="spellStart"/>
      <w:r w:rsidR="006822BC" w:rsidRPr="006822BC">
        <w:rPr>
          <w:rFonts w:eastAsia="Times New Roman" w:cs="Arial"/>
          <w:lang w:eastAsia="it-IT"/>
        </w:rPr>
        <w:t>sottoscritt</w:t>
      </w:r>
      <w:proofErr w:type="spellEnd"/>
      <w:r w:rsidR="006822BC" w:rsidRPr="006822BC">
        <w:rPr>
          <w:rFonts w:eastAsia="Times New Roman" w:cs="Arial"/>
          <w:lang w:eastAsia="it-IT"/>
        </w:rPr>
        <w:t>__ dichiara di aver preso visione dell’informativa resa ai sensi degli artt. 13 e 14 del</w:t>
      </w:r>
    </w:p>
    <w:p w:rsidR="006822BC" w:rsidRPr="006822BC" w:rsidRDefault="006822BC"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sidRPr="006822BC">
        <w:rPr>
          <w:rFonts w:eastAsia="Times New Roman" w:cs="Arial"/>
          <w:lang w:eastAsia="it-IT"/>
        </w:rPr>
        <w:t xml:space="preserve">Regolamento UE 2016/679 (GDPR) </w:t>
      </w:r>
      <w:r w:rsidR="008149B2">
        <w:rPr>
          <w:rFonts w:eastAsia="Times New Roman" w:cs="Arial"/>
          <w:lang w:eastAsia="it-IT"/>
        </w:rPr>
        <w:t xml:space="preserve">pertanto </w:t>
      </w:r>
      <w:r w:rsidRPr="006822BC">
        <w:rPr>
          <w:rFonts w:eastAsia="Times New Roman" w:cs="Arial"/>
          <w:lang w:eastAsia="it-IT"/>
        </w:rPr>
        <w:t>presta il proprio consenso affinché i dati personali di cui alla presen</w:t>
      </w:r>
      <w:r w:rsidR="008149B2">
        <w:rPr>
          <w:rFonts w:eastAsia="Times New Roman" w:cs="Arial"/>
          <w:lang w:eastAsia="it-IT"/>
        </w:rPr>
        <w:t xml:space="preserve">te istanza e contenuti nei suoi </w:t>
      </w:r>
      <w:r w:rsidRPr="006822BC">
        <w:rPr>
          <w:rFonts w:eastAsia="Times New Roman" w:cs="Arial"/>
          <w:lang w:eastAsia="it-IT"/>
        </w:rPr>
        <w:t>allegati siano trattati, anche con strumenti informatici, per consentire lo svolgimento del procedim</w:t>
      </w:r>
      <w:r w:rsidR="008149B2">
        <w:rPr>
          <w:rFonts w:eastAsia="Times New Roman" w:cs="Arial"/>
          <w:lang w:eastAsia="it-IT"/>
        </w:rPr>
        <w:t xml:space="preserve">ento </w:t>
      </w:r>
      <w:r w:rsidRPr="006822BC">
        <w:rPr>
          <w:rFonts w:eastAsia="Times New Roman" w:cs="Arial"/>
          <w:lang w:eastAsia="it-IT"/>
        </w:rPr>
        <w:t>per il quale la presente istanza viene resa.</w:t>
      </w:r>
    </w:p>
    <w:p w:rsidR="00736AEC" w:rsidRDefault="00736AEC"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sidRPr="00A3713A">
        <w:rPr>
          <w:rFonts w:eastAsia="Times New Roman" w:cs="Arial"/>
          <w:lang w:eastAsia="it-IT"/>
        </w:rPr>
        <w:br/>
      </w:r>
    </w:p>
    <w:p w:rsidR="00F67CB2" w:rsidRPr="00FD5FC8" w:rsidRDefault="00F67CB2" w:rsidP="008C4592">
      <w:pPr>
        <w:tabs>
          <w:tab w:val="left" w:pos="-1701"/>
          <w:tab w:val="left" w:pos="-426"/>
        </w:tabs>
        <w:spacing w:after="0" w:line="240" w:lineRule="auto"/>
        <w:rPr>
          <w:rFonts w:eastAsia="Times New Roman" w:cs="Arial"/>
          <w:lang w:eastAsia="it-IT"/>
        </w:rPr>
      </w:pPr>
    </w:p>
    <w:p w:rsidR="00F67CB2" w:rsidRPr="00FD5FC8" w:rsidRDefault="00F67CB2" w:rsidP="008C4592">
      <w:pPr>
        <w:tabs>
          <w:tab w:val="left" w:pos="-1701"/>
          <w:tab w:val="left" w:pos="-426"/>
        </w:tabs>
        <w:spacing w:after="0" w:line="240" w:lineRule="auto"/>
        <w:rPr>
          <w:rFonts w:eastAsia="Times New Roman" w:cs="Arial"/>
          <w:lang w:eastAsia="it-IT"/>
        </w:rPr>
      </w:pPr>
    </w:p>
    <w:p w:rsidR="002F2BE1" w:rsidRPr="00FD5FC8" w:rsidRDefault="002F2BE1" w:rsidP="008C4592">
      <w:pPr>
        <w:tabs>
          <w:tab w:val="left" w:pos="-1701"/>
          <w:tab w:val="left" w:pos="-426"/>
        </w:tabs>
        <w:spacing w:after="0" w:line="240" w:lineRule="auto"/>
        <w:rPr>
          <w:rFonts w:eastAsia="Times New Roman" w:cs="Arial"/>
          <w:lang w:eastAsia="it-IT"/>
        </w:rPr>
      </w:pPr>
      <w:r w:rsidRPr="00FD5FC8">
        <w:rPr>
          <w:rFonts w:eastAsia="Times New Roman" w:cs="Arial"/>
          <w:lang w:eastAsia="it-IT"/>
        </w:rPr>
        <w:t>Data _______________________________</w:t>
      </w:r>
    </w:p>
    <w:p w:rsidR="002F2BE1" w:rsidRPr="00FD5FC8" w:rsidRDefault="00B15B7E" w:rsidP="008C4592">
      <w:pPr>
        <w:pBdr>
          <w:bottom w:val="single" w:sz="12" w:space="1" w:color="auto"/>
        </w:pBdr>
        <w:tabs>
          <w:tab w:val="left" w:pos="-1701"/>
          <w:tab w:val="left" w:pos="-426"/>
        </w:tabs>
        <w:spacing w:after="0" w:line="240" w:lineRule="auto"/>
        <w:ind w:left="6946"/>
        <w:rPr>
          <w:rFonts w:eastAsia="Times New Roman" w:cs="Arial"/>
          <w:i/>
          <w:lang w:eastAsia="it-IT"/>
        </w:rPr>
      </w:pPr>
      <w:r w:rsidRPr="00FD5FC8">
        <w:rPr>
          <w:rFonts w:eastAsia="Times New Roman" w:cs="Arial"/>
          <w:lang w:eastAsia="it-IT"/>
        </w:rPr>
        <w:tab/>
      </w:r>
      <w:r w:rsidRPr="00FD5FC8">
        <w:rPr>
          <w:rFonts w:eastAsia="Times New Roman" w:cs="Arial"/>
          <w:lang w:eastAsia="it-IT"/>
        </w:rPr>
        <w:tab/>
      </w:r>
      <w:r w:rsidR="0045400F">
        <w:rPr>
          <w:rFonts w:eastAsia="Times New Roman" w:cs="Arial"/>
          <w:lang w:eastAsia="it-IT"/>
        </w:rPr>
        <w:t xml:space="preserve">FIRMA </w:t>
      </w:r>
    </w:p>
    <w:p w:rsidR="00F67CB2" w:rsidRPr="00FD5FC8" w:rsidRDefault="00F67CB2" w:rsidP="008C4592">
      <w:pPr>
        <w:pBdr>
          <w:bottom w:val="single" w:sz="12" w:space="1" w:color="auto"/>
        </w:pBdr>
        <w:tabs>
          <w:tab w:val="left" w:pos="-1701"/>
          <w:tab w:val="left" w:pos="-426"/>
        </w:tabs>
        <w:spacing w:after="0" w:line="240" w:lineRule="auto"/>
        <w:ind w:left="6946"/>
        <w:rPr>
          <w:rFonts w:eastAsia="Times New Roman" w:cs="Arial"/>
          <w:i/>
          <w:lang w:eastAsia="it-IT"/>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Pr="008149B2" w:rsidRDefault="006822BC" w:rsidP="008149B2">
      <w:pPr>
        <w:autoSpaceDE w:val="0"/>
        <w:autoSpaceDN w:val="0"/>
        <w:adjustRightInd w:val="0"/>
        <w:spacing w:after="0" w:line="240" w:lineRule="auto"/>
        <w:rPr>
          <w:rFonts w:ascii="Helvetica" w:hAnsi="Helvetica" w:cs="Helvetica"/>
          <w:sz w:val="14"/>
          <w:szCs w:val="14"/>
        </w:rPr>
      </w:pPr>
      <w:bookmarkStart w:id="1" w:name="_GoBack"/>
      <w:bookmarkEnd w:id="1"/>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3E173D28"/>
    <w:multiLevelType w:val="hybridMultilevel"/>
    <w:tmpl w:val="F50A0F96"/>
    <w:lvl w:ilvl="0" w:tplc="48E29E5C">
      <w:start w:val="1"/>
      <w:numFmt w:val="decimal"/>
      <w:lvlText w:val="%1)"/>
      <w:lvlJc w:val="left"/>
      <w:pPr>
        <w:ind w:left="1852" w:hanging="360"/>
      </w:pPr>
      <w:rPr>
        <w:rFonts w:hint="default"/>
        <w:w w:val="103"/>
        <w:lang w:val="it-IT" w:eastAsia="en-US" w:bidi="ar-SA"/>
      </w:rPr>
    </w:lvl>
    <w:lvl w:ilvl="1" w:tplc="B0A2B176">
      <w:numFmt w:val="bullet"/>
      <w:lvlText w:val="-"/>
      <w:lvlJc w:val="left"/>
      <w:pPr>
        <w:ind w:left="2549" w:hanging="284"/>
      </w:pPr>
      <w:rPr>
        <w:rFonts w:ascii="Arial" w:eastAsia="Arial" w:hAnsi="Arial" w:cs="Arial" w:hint="default"/>
        <w:b/>
        <w:bCs/>
        <w:i w:val="0"/>
        <w:iCs w:val="0"/>
        <w:w w:val="117"/>
        <w:sz w:val="21"/>
        <w:szCs w:val="21"/>
        <w:lang w:val="it-IT" w:eastAsia="en-US" w:bidi="ar-SA"/>
      </w:rPr>
    </w:lvl>
    <w:lvl w:ilvl="2" w:tplc="7362FA70">
      <w:numFmt w:val="bullet"/>
      <w:lvlText w:val="•"/>
      <w:lvlJc w:val="left"/>
      <w:pPr>
        <w:ind w:left="3580" w:hanging="284"/>
      </w:pPr>
      <w:rPr>
        <w:rFonts w:hint="default"/>
        <w:lang w:val="it-IT" w:eastAsia="en-US" w:bidi="ar-SA"/>
      </w:rPr>
    </w:lvl>
    <w:lvl w:ilvl="3" w:tplc="38C41350">
      <w:numFmt w:val="bullet"/>
      <w:lvlText w:val="•"/>
      <w:lvlJc w:val="left"/>
      <w:pPr>
        <w:ind w:left="4620" w:hanging="284"/>
      </w:pPr>
      <w:rPr>
        <w:rFonts w:hint="default"/>
        <w:lang w:val="it-IT" w:eastAsia="en-US" w:bidi="ar-SA"/>
      </w:rPr>
    </w:lvl>
    <w:lvl w:ilvl="4" w:tplc="3F7CC5A0">
      <w:numFmt w:val="bullet"/>
      <w:lvlText w:val="•"/>
      <w:lvlJc w:val="left"/>
      <w:pPr>
        <w:ind w:left="5660" w:hanging="284"/>
      </w:pPr>
      <w:rPr>
        <w:rFonts w:hint="default"/>
        <w:lang w:val="it-IT" w:eastAsia="en-US" w:bidi="ar-SA"/>
      </w:rPr>
    </w:lvl>
    <w:lvl w:ilvl="5" w:tplc="17EC0598">
      <w:numFmt w:val="bullet"/>
      <w:lvlText w:val="•"/>
      <w:lvlJc w:val="left"/>
      <w:pPr>
        <w:ind w:left="6700" w:hanging="284"/>
      </w:pPr>
      <w:rPr>
        <w:rFonts w:hint="default"/>
        <w:lang w:val="it-IT" w:eastAsia="en-US" w:bidi="ar-SA"/>
      </w:rPr>
    </w:lvl>
    <w:lvl w:ilvl="6" w:tplc="FCCA8D34">
      <w:numFmt w:val="bullet"/>
      <w:lvlText w:val="•"/>
      <w:lvlJc w:val="left"/>
      <w:pPr>
        <w:ind w:left="7740" w:hanging="284"/>
      </w:pPr>
      <w:rPr>
        <w:rFonts w:hint="default"/>
        <w:lang w:val="it-IT" w:eastAsia="en-US" w:bidi="ar-SA"/>
      </w:rPr>
    </w:lvl>
    <w:lvl w:ilvl="7" w:tplc="87728296">
      <w:numFmt w:val="bullet"/>
      <w:lvlText w:val="•"/>
      <w:lvlJc w:val="left"/>
      <w:pPr>
        <w:ind w:left="8780" w:hanging="284"/>
      </w:pPr>
      <w:rPr>
        <w:rFonts w:hint="default"/>
        <w:lang w:val="it-IT" w:eastAsia="en-US" w:bidi="ar-SA"/>
      </w:rPr>
    </w:lvl>
    <w:lvl w:ilvl="8" w:tplc="3F46E2BA">
      <w:numFmt w:val="bullet"/>
      <w:lvlText w:val="•"/>
      <w:lvlJc w:val="left"/>
      <w:pPr>
        <w:ind w:left="9820" w:hanging="284"/>
      </w:pPr>
      <w:rPr>
        <w:rFonts w:hint="default"/>
        <w:lang w:val="it-IT" w:eastAsia="en-US" w:bidi="ar-SA"/>
      </w:rPr>
    </w:lvl>
  </w:abstractNum>
  <w:abstractNum w:abstractNumId="14"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7"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8"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2"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30"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2"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3"/>
  </w:num>
  <w:num w:numId="2">
    <w:abstractNumId w:val="18"/>
  </w:num>
  <w:num w:numId="3">
    <w:abstractNumId w:val="11"/>
  </w:num>
  <w:num w:numId="4">
    <w:abstractNumId w:val="15"/>
  </w:num>
  <w:num w:numId="5">
    <w:abstractNumId w:val="2"/>
  </w:num>
  <w:num w:numId="6">
    <w:abstractNumId w:val="32"/>
  </w:num>
  <w:num w:numId="7">
    <w:abstractNumId w:val="25"/>
  </w:num>
  <w:num w:numId="8">
    <w:abstractNumId w:val="24"/>
  </w:num>
  <w:num w:numId="9">
    <w:abstractNumId w:val="8"/>
  </w:num>
  <w:num w:numId="10">
    <w:abstractNumId w:val="6"/>
  </w:num>
  <w:num w:numId="11">
    <w:abstractNumId w:val="1"/>
  </w:num>
  <w:num w:numId="12">
    <w:abstractNumId w:val="29"/>
  </w:num>
  <w:num w:numId="13">
    <w:abstractNumId w:val="4"/>
  </w:num>
  <w:num w:numId="14">
    <w:abstractNumId w:val="3"/>
  </w:num>
  <w:num w:numId="15">
    <w:abstractNumId w:val="27"/>
  </w:num>
  <w:num w:numId="16">
    <w:abstractNumId w:val="22"/>
  </w:num>
  <w:num w:numId="17">
    <w:abstractNumId w:val="23"/>
  </w:num>
  <w:num w:numId="18">
    <w:abstractNumId w:val="0"/>
  </w:num>
  <w:num w:numId="19">
    <w:abstractNumId w:val="20"/>
  </w:num>
  <w:num w:numId="20">
    <w:abstractNumId w:val="26"/>
  </w:num>
  <w:num w:numId="21">
    <w:abstractNumId w:val="3"/>
  </w:num>
  <w:num w:numId="22">
    <w:abstractNumId w:val="7"/>
  </w:num>
  <w:num w:numId="23">
    <w:abstractNumId w:val="16"/>
  </w:num>
  <w:num w:numId="24">
    <w:abstractNumId w:val="21"/>
  </w:num>
  <w:num w:numId="25">
    <w:abstractNumId w:val="28"/>
  </w:num>
  <w:num w:numId="26">
    <w:abstractNumId w:val="14"/>
  </w:num>
  <w:num w:numId="27">
    <w:abstractNumId w:val="31"/>
  </w:num>
  <w:num w:numId="28">
    <w:abstractNumId w:val="30"/>
  </w:num>
  <w:num w:numId="29">
    <w:abstractNumId w:val="19"/>
  </w:num>
  <w:num w:numId="30">
    <w:abstractNumId w:val="17"/>
  </w:num>
  <w:num w:numId="31">
    <w:abstractNumId w:val="10"/>
  </w:num>
  <w:num w:numId="32">
    <w:abstractNumId w:val="12"/>
  </w:num>
  <w:num w:numId="33">
    <w:abstractNumId w:val="9"/>
  </w:num>
  <w:num w:numId="34">
    <w:abstractNumId w:val="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62FDE"/>
    <w:rsid w:val="0006346C"/>
    <w:rsid w:val="000643F6"/>
    <w:rsid w:val="00074942"/>
    <w:rsid w:val="0007737F"/>
    <w:rsid w:val="000828CA"/>
    <w:rsid w:val="0009579E"/>
    <w:rsid w:val="000A7247"/>
    <w:rsid w:val="000C3996"/>
    <w:rsid w:val="000D0DCC"/>
    <w:rsid w:val="00104078"/>
    <w:rsid w:val="00156E36"/>
    <w:rsid w:val="001A4871"/>
    <w:rsid w:val="001C1693"/>
    <w:rsid w:val="001D3846"/>
    <w:rsid w:val="00204360"/>
    <w:rsid w:val="00210FD3"/>
    <w:rsid w:val="002178B7"/>
    <w:rsid w:val="00226150"/>
    <w:rsid w:val="00237F72"/>
    <w:rsid w:val="00250A58"/>
    <w:rsid w:val="00254C1A"/>
    <w:rsid w:val="002653E2"/>
    <w:rsid w:val="002656BD"/>
    <w:rsid w:val="00296A59"/>
    <w:rsid w:val="002F2BE1"/>
    <w:rsid w:val="00337563"/>
    <w:rsid w:val="00343C09"/>
    <w:rsid w:val="003500E4"/>
    <w:rsid w:val="00355547"/>
    <w:rsid w:val="00357DA9"/>
    <w:rsid w:val="00377567"/>
    <w:rsid w:val="003A0ECA"/>
    <w:rsid w:val="003C52E0"/>
    <w:rsid w:val="003F4CCD"/>
    <w:rsid w:val="00410B9D"/>
    <w:rsid w:val="00425094"/>
    <w:rsid w:val="004263E9"/>
    <w:rsid w:val="00440775"/>
    <w:rsid w:val="0045400F"/>
    <w:rsid w:val="004B2CD3"/>
    <w:rsid w:val="004C00A6"/>
    <w:rsid w:val="004C7965"/>
    <w:rsid w:val="004E5CBB"/>
    <w:rsid w:val="00503D68"/>
    <w:rsid w:val="00516251"/>
    <w:rsid w:val="005401ED"/>
    <w:rsid w:val="005740A0"/>
    <w:rsid w:val="005B3AEB"/>
    <w:rsid w:val="005E6DC8"/>
    <w:rsid w:val="005F0986"/>
    <w:rsid w:val="005F3426"/>
    <w:rsid w:val="0064765A"/>
    <w:rsid w:val="006514DF"/>
    <w:rsid w:val="006729FE"/>
    <w:rsid w:val="006822BC"/>
    <w:rsid w:val="00696411"/>
    <w:rsid w:val="006A09DF"/>
    <w:rsid w:val="006B2129"/>
    <w:rsid w:val="006C6497"/>
    <w:rsid w:val="006D0A9A"/>
    <w:rsid w:val="006D6D8F"/>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17F8D"/>
    <w:rsid w:val="009226C3"/>
    <w:rsid w:val="009352D3"/>
    <w:rsid w:val="00962EF9"/>
    <w:rsid w:val="009756DB"/>
    <w:rsid w:val="0099147E"/>
    <w:rsid w:val="009C0214"/>
    <w:rsid w:val="009D5C85"/>
    <w:rsid w:val="00A145AF"/>
    <w:rsid w:val="00A3713A"/>
    <w:rsid w:val="00A52622"/>
    <w:rsid w:val="00A9094A"/>
    <w:rsid w:val="00AA7226"/>
    <w:rsid w:val="00AC179B"/>
    <w:rsid w:val="00AC54ED"/>
    <w:rsid w:val="00AE7BB7"/>
    <w:rsid w:val="00B11564"/>
    <w:rsid w:val="00B15B7E"/>
    <w:rsid w:val="00B46DCC"/>
    <w:rsid w:val="00BB7101"/>
    <w:rsid w:val="00C05A7B"/>
    <w:rsid w:val="00C07384"/>
    <w:rsid w:val="00C22B3E"/>
    <w:rsid w:val="00C517C9"/>
    <w:rsid w:val="00C6229D"/>
    <w:rsid w:val="00C67424"/>
    <w:rsid w:val="00C82F4A"/>
    <w:rsid w:val="00C87241"/>
    <w:rsid w:val="00C96B6A"/>
    <w:rsid w:val="00CC0DDC"/>
    <w:rsid w:val="00CE7B23"/>
    <w:rsid w:val="00CF5999"/>
    <w:rsid w:val="00D057CC"/>
    <w:rsid w:val="00D20C04"/>
    <w:rsid w:val="00D316F6"/>
    <w:rsid w:val="00D55CB2"/>
    <w:rsid w:val="00D7475E"/>
    <w:rsid w:val="00D85AB4"/>
    <w:rsid w:val="00D9639B"/>
    <w:rsid w:val="00DA13BB"/>
    <w:rsid w:val="00DB123B"/>
    <w:rsid w:val="00DD3FCF"/>
    <w:rsid w:val="00E51974"/>
    <w:rsid w:val="00E913B2"/>
    <w:rsid w:val="00E96098"/>
    <w:rsid w:val="00EA2AD5"/>
    <w:rsid w:val="00EB5587"/>
    <w:rsid w:val="00EF1FCB"/>
    <w:rsid w:val="00F014F6"/>
    <w:rsid w:val="00F21890"/>
    <w:rsid w:val="00F351F5"/>
    <w:rsid w:val="00F41B16"/>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43EF"/>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 w:type="paragraph" w:styleId="PreformattatoHTML">
    <w:name w:val="HTML Preformatted"/>
    <w:basedOn w:val="Normale"/>
    <w:link w:val="PreformattatoHTMLCarattere"/>
    <w:uiPriority w:val="99"/>
    <w:unhideWhenUsed/>
    <w:rsid w:val="000A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0A7247"/>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liba.it/it/amministrazione-e-servizi/bandi-il-personale-ta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DBC1-B61D-471A-AE9C-2D791613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Utente</cp:lastModifiedBy>
  <cp:revision>2</cp:revision>
  <cp:lastPrinted>2021-08-07T16:00:00Z</cp:lastPrinted>
  <dcterms:created xsi:type="dcterms:W3CDTF">2021-08-08T16:40:00Z</dcterms:created>
  <dcterms:modified xsi:type="dcterms:W3CDTF">2021-08-08T16:40:00Z</dcterms:modified>
</cp:coreProperties>
</file>